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6E1D" w14:textId="74389547" w:rsidR="00961952" w:rsidRPr="00CB0DE0" w:rsidRDefault="00CB0DE0" w:rsidP="00961952">
      <w:pPr>
        <w:pStyle w:val="Default"/>
        <w:rPr>
          <w:rFonts w:asciiTheme="minorHAnsi" w:hAnsiTheme="minorHAnsi" w:cstheme="minorHAnsi"/>
          <w:b/>
          <w:bCs/>
          <w:sz w:val="32"/>
          <w:szCs w:val="32"/>
        </w:rPr>
      </w:pPr>
      <w:r w:rsidRPr="00CB0DE0">
        <w:rPr>
          <w:rFonts w:asciiTheme="minorHAnsi" w:hAnsiTheme="minorHAnsi" w:cstheme="minorHAnsi"/>
          <w:b/>
          <w:bCs/>
          <w:sz w:val="32"/>
          <w:szCs w:val="32"/>
        </w:rPr>
        <w:t xml:space="preserve">PACTS Response: </w:t>
      </w:r>
      <w:r w:rsidR="00961952" w:rsidRPr="00CB0DE0">
        <w:rPr>
          <w:rFonts w:asciiTheme="minorHAnsi" w:hAnsiTheme="minorHAnsi" w:cstheme="minorHAnsi"/>
          <w:b/>
          <w:bCs/>
          <w:sz w:val="32"/>
          <w:szCs w:val="32"/>
        </w:rPr>
        <w:t>Changes to the Magistrates’ Court Sentencing Guidelines and associated explanatory materials.</w:t>
      </w:r>
    </w:p>
    <w:p w14:paraId="1C34AF09" w14:textId="77777777" w:rsidR="00961952" w:rsidRPr="00961952" w:rsidRDefault="00961952" w:rsidP="00961952">
      <w:pPr>
        <w:pStyle w:val="Default"/>
        <w:rPr>
          <w:sz w:val="32"/>
          <w:szCs w:val="32"/>
        </w:rPr>
      </w:pPr>
    </w:p>
    <w:p w14:paraId="61A2A64E" w14:textId="3391A691" w:rsidR="00CB0DE0" w:rsidRPr="00E007DD" w:rsidRDefault="00CB0DE0" w:rsidP="00961952">
      <w:pPr>
        <w:rPr>
          <w:rStyle w:val="Hyperlink"/>
          <w:b/>
          <w:bCs/>
          <w:color w:val="auto"/>
          <w:sz w:val="28"/>
          <w:szCs w:val="28"/>
          <w:u w:val="none"/>
        </w:rPr>
      </w:pPr>
      <w:r w:rsidRPr="00E007DD">
        <w:rPr>
          <w:rStyle w:val="Hyperlink"/>
          <w:b/>
          <w:bCs/>
          <w:color w:val="auto"/>
          <w:sz w:val="28"/>
          <w:szCs w:val="28"/>
          <w:u w:val="none"/>
        </w:rPr>
        <w:t>Consultation Response</w:t>
      </w:r>
    </w:p>
    <w:p w14:paraId="3E50EEB7" w14:textId="77777777" w:rsidR="00CE5637" w:rsidRDefault="007C0FF9">
      <w:pPr>
        <w:rPr>
          <w:i/>
          <w:iCs/>
        </w:rPr>
      </w:pPr>
      <w:r w:rsidRPr="00D351A1">
        <w:rPr>
          <w:i/>
          <w:iCs/>
        </w:rPr>
        <w:t>Question 1: What is your name?</w:t>
      </w:r>
    </w:p>
    <w:p w14:paraId="30F257E3" w14:textId="5CF03F91" w:rsidR="00CE5637" w:rsidRPr="00CE5637" w:rsidRDefault="00CE5637">
      <w:r>
        <w:t>Evan Webster</w:t>
      </w:r>
    </w:p>
    <w:p w14:paraId="716DCD61" w14:textId="21496ED1" w:rsidR="00CE5637" w:rsidRDefault="007C0FF9">
      <w:pPr>
        <w:rPr>
          <w:i/>
          <w:iCs/>
        </w:rPr>
      </w:pPr>
      <w:r w:rsidRPr="00D351A1">
        <w:rPr>
          <w:i/>
          <w:iCs/>
        </w:rPr>
        <w:t xml:space="preserve">Question 2: What is your email address? </w:t>
      </w:r>
    </w:p>
    <w:p w14:paraId="1CDB3C9C" w14:textId="0843795B" w:rsidR="00CE5637" w:rsidRPr="00CE5637" w:rsidRDefault="001F2048">
      <w:hyperlink r:id="rId11" w:history="1">
        <w:r w:rsidR="000948A6" w:rsidRPr="00002308">
          <w:rPr>
            <w:rStyle w:val="Hyperlink"/>
          </w:rPr>
          <w:t>Evan.webster@pacts.org.uk</w:t>
        </w:r>
      </w:hyperlink>
      <w:r w:rsidR="000948A6">
        <w:t xml:space="preserve"> </w:t>
      </w:r>
    </w:p>
    <w:p w14:paraId="5B47516E" w14:textId="587476A1" w:rsidR="007C0FF9" w:rsidRDefault="007C0FF9">
      <w:pPr>
        <w:rPr>
          <w:i/>
          <w:iCs/>
        </w:rPr>
      </w:pPr>
      <w:r w:rsidRPr="00D351A1">
        <w:rPr>
          <w:i/>
          <w:iCs/>
        </w:rPr>
        <w:t>Question 3: What is your organisation?</w:t>
      </w:r>
    </w:p>
    <w:p w14:paraId="06F7E3DF" w14:textId="59A26568" w:rsidR="00CE5637" w:rsidRDefault="00CE5637">
      <w:r w:rsidRPr="00CE5637">
        <w:t xml:space="preserve">The Parliamentary Advisory Council for Transport Safety (PACTS). </w:t>
      </w:r>
    </w:p>
    <w:p w14:paraId="46193CA5" w14:textId="26BF69D3" w:rsidR="006F042D" w:rsidRDefault="006F042D" w:rsidP="006F042D">
      <w:r>
        <w:t>PACTS is a registered charity.</w:t>
      </w:r>
      <w:r w:rsidR="00D904AD">
        <w:t xml:space="preserve"> </w:t>
      </w:r>
      <w:r>
        <w:t>Its charitable objective is “To protect human life through the promotion of transport safety for the public benefit”. Its aim is to advise and inform members of the House of Commons and of the House of Lords on air, rail and road safety issues. It brings together safety professionals and legislators to identify research-based solutions to transport safety problems having regard to cost, effectiveness, achievability and acceptability.</w:t>
      </w:r>
    </w:p>
    <w:p w14:paraId="184B85AB" w14:textId="0ABD981C" w:rsidR="00D071E5" w:rsidRDefault="00D071E5" w:rsidP="006F042D">
      <w:pPr>
        <w:rPr>
          <w:i/>
          <w:iCs/>
        </w:rPr>
      </w:pPr>
      <w:r w:rsidRPr="00D071E5">
        <w:rPr>
          <w:i/>
          <w:iCs/>
        </w:rPr>
        <w:t>Question 4-8</w:t>
      </w:r>
    </w:p>
    <w:p w14:paraId="26812C8F" w14:textId="212B9616" w:rsidR="00D071E5" w:rsidRPr="00D071E5" w:rsidRDefault="00D071E5" w:rsidP="006F042D">
      <w:r>
        <w:t>NA</w:t>
      </w:r>
    </w:p>
    <w:p w14:paraId="0FF25983" w14:textId="46717FA6" w:rsidR="00D351A1" w:rsidRPr="00D351A1" w:rsidRDefault="00D351A1">
      <w:pPr>
        <w:rPr>
          <w:i/>
          <w:iCs/>
        </w:rPr>
      </w:pPr>
      <w:r w:rsidRPr="00D351A1">
        <w:rPr>
          <w:i/>
          <w:iCs/>
        </w:rPr>
        <w:t>Question 9: Do you agree with the proposed changes to the guidance on totting up disqualifications and exceptional hardship in the explanatory materials? If not, please provide any alternative suggestions.</w:t>
      </w:r>
    </w:p>
    <w:p w14:paraId="32760691" w14:textId="77777777" w:rsidR="00CE5637" w:rsidRDefault="00D351A1">
      <w:r>
        <w:t xml:space="preserve">PACTS broadly </w:t>
      </w:r>
      <w:proofErr w:type="gramStart"/>
      <w:r>
        <w:t>agrees</w:t>
      </w:r>
      <w:proofErr w:type="gramEnd"/>
      <w:r>
        <w:t xml:space="preserve"> with the proposed changes to the guidance on totting up disqualifications and exceptional hardship. However, </w:t>
      </w:r>
      <w:r w:rsidR="0036595E">
        <w:t>we suggest additional guidance stating that courts should consider</w:t>
      </w:r>
      <w:r w:rsidR="00CE5637">
        <w:t>:</w:t>
      </w:r>
    </w:p>
    <w:p w14:paraId="5E8E5A0B" w14:textId="284B1654" w:rsidR="00CF68F8" w:rsidRDefault="00CE5637" w:rsidP="00CE5637">
      <w:pPr>
        <w:pStyle w:val="ListParagraph"/>
        <w:numPr>
          <w:ilvl w:val="0"/>
          <w:numId w:val="2"/>
        </w:numPr>
      </w:pPr>
      <w:r>
        <w:t>t</w:t>
      </w:r>
      <w:r w:rsidR="0036595E">
        <w:t xml:space="preserve">he risk and </w:t>
      </w:r>
      <w:r w:rsidR="0036595E" w:rsidRPr="00C0622D">
        <w:t>potential hardship inflicted</w:t>
      </w:r>
      <w:r w:rsidR="0036595E">
        <w:t xml:space="preserve"> on the general public when drivers with more than 12 points are not </w:t>
      </w:r>
      <w:proofErr w:type="gramStart"/>
      <w:r>
        <w:t>disqualified;</w:t>
      </w:r>
      <w:proofErr w:type="gramEnd"/>
    </w:p>
    <w:p w14:paraId="7B9B57FE" w14:textId="2009E3D3" w:rsidR="00CE5637" w:rsidRDefault="00CE5637" w:rsidP="00CE5637">
      <w:pPr>
        <w:pStyle w:val="ListParagraph"/>
        <w:numPr>
          <w:ilvl w:val="0"/>
          <w:numId w:val="2"/>
        </w:numPr>
      </w:pPr>
      <w:r>
        <w:t xml:space="preserve">the risk of </w:t>
      </w:r>
      <w:r w:rsidR="006F042D">
        <w:t>the</w:t>
      </w:r>
      <w:r>
        <w:t xml:space="preserve"> granting of exceptional hardship claims undermining the deterrence </w:t>
      </w:r>
      <w:r w:rsidR="006F042D">
        <w:t xml:space="preserve">effect </w:t>
      </w:r>
      <w:r>
        <w:t xml:space="preserve">of the penalty point </w:t>
      </w:r>
      <w:proofErr w:type="gramStart"/>
      <w:r>
        <w:t>system;</w:t>
      </w:r>
      <w:proofErr w:type="gramEnd"/>
    </w:p>
    <w:p w14:paraId="2D62C388" w14:textId="46EB00D9" w:rsidR="00CE5637" w:rsidRDefault="00CE5637" w:rsidP="00CE5637">
      <w:pPr>
        <w:pStyle w:val="ListParagraph"/>
        <w:numPr>
          <w:ilvl w:val="0"/>
          <w:numId w:val="2"/>
        </w:numPr>
      </w:pPr>
      <w:r>
        <w:t xml:space="preserve">the fact that drivers with 12 points will have continued to drive dangerously </w:t>
      </w:r>
      <w:r w:rsidR="00961911">
        <w:t xml:space="preserve">after receiving points for previous offences </w:t>
      </w:r>
      <w:r>
        <w:t xml:space="preserve">despite </w:t>
      </w:r>
      <w:r w:rsidR="006F042D">
        <w:t xml:space="preserve">knowing </w:t>
      </w:r>
      <w:r>
        <w:t xml:space="preserve">the </w:t>
      </w:r>
      <w:r w:rsidR="006F042D">
        <w:t>potential impact on their lives</w:t>
      </w:r>
      <w:r w:rsidR="00961911">
        <w:t xml:space="preserve"> of reaching 12 points</w:t>
      </w:r>
      <w:r>
        <w:t>.</w:t>
      </w:r>
    </w:p>
    <w:p w14:paraId="2CC58A62" w14:textId="408C5DC6" w:rsidR="005C15F5" w:rsidRDefault="0036595E">
      <w:pPr>
        <w:rPr>
          <w:rStyle w:val="Hyperlink"/>
          <w:color w:val="auto"/>
          <w:u w:val="none"/>
        </w:rPr>
      </w:pPr>
      <w:r>
        <w:t xml:space="preserve">In 2019, 1,784 people died in collisions on British roads, there were a further 25,511 serious injuries. </w:t>
      </w:r>
      <w:r w:rsidR="0042420E">
        <w:t>Many</w:t>
      </w:r>
      <w:r w:rsidR="00DC3EB3">
        <w:t xml:space="preserve"> </w:t>
      </w:r>
      <w:r w:rsidR="0042420E">
        <w:t xml:space="preserve">of these casualties resulted from dangerous or careless driving for which some </w:t>
      </w:r>
      <w:r w:rsidR="000E2561">
        <w:t>penalty</w:t>
      </w:r>
      <w:r w:rsidR="0042420E">
        <w:t xml:space="preserve"> was or might </w:t>
      </w:r>
      <w:r w:rsidR="000E2561">
        <w:t>have</w:t>
      </w:r>
      <w:r w:rsidR="0042420E">
        <w:t xml:space="preserve"> been imposed. </w:t>
      </w:r>
      <w:r>
        <w:t>Th</w:t>
      </w:r>
      <w:r w:rsidR="000E2561">
        <w:t>ese deaths, injuries and other consequences</w:t>
      </w:r>
      <w:r>
        <w:t xml:space="preserve"> represent an immense amount </w:t>
      </w:r>
      <w:r w:rsidRPr="00984924">
        <w:t>of hardship for collision victims, their families and those who depend on them. There is clear international evidence that drivers who have penalty points</w:t>
      </w:r>
      <w:r w:rsidR="006F042D" w:rsidRPr="00984924">
        <w:t xml:space="preserve"> on their </w:t>
      </w:r>
      <w:r w:rsidR="0042420E" w:rsidRPr="00984924">
        <w:t>licence</w:t>
      </w:r>
      <w:r w:rsidRPr="00984924">
        <w:t xml:space="preserve"> are more likely to be involved in </w:t>
      </w:r>
      <w:r w:rsidR="003F5B5C">
        <w:t>collisions</w:t>
      </w:r>
      <w:r w:rsidRPr="00984924">
        <w:t xml:space="preserve"> and</w:t>
      </w:r>
      <w:r w:rsidR="006F042D" w:rsidRPr="00984924">
        <w:t xml:space="preserve"> that they</w:t>
      </w:r>
      <w:r w:rsidRPr="00984924">
        <w:t xml:space="preserve"> pose a greater risk to the general public than other drivers.</w:t>
      </w:r>
      <w:r w:rsidRPr="00984924">
        <w:rPr>
          <w:rStyle w:val="FootnoteReference"/>
        </w:rPr>
        <w:footnoteReference w:id="2"/>
      </w:r>
      <w:r w:rsidRPr="00984924">
        <w:t xml:space="preserve"> The </w:t>
      </w:r>
      <w:r w:rsidRPr="00984924">
        <w:lastRenderedPageBreak/>
        <w:t>higher level of risk that drivers with penalty points pose is also recognised by UK insurers.</w:t>
      </w:r>
      <w:r w:rsidR="005C15F5" w:rsidRPr="00984924">
        <w:rPr>
          <w:rStyle w:val="FootnoteReference"/>
        </w:rPr>
        <w:t xml:space="preserve"> </w:t>
      </w:r>
      <w:r w:rsidR="005C15F5" w:rsidRPr="00984924">
        <w:rPr>
          <w:rStyle w:val="FootnoteReference"/>
        </w:rPr>
        <w:footnoteReference w:id="3"/>
      </w:r>
      <w:r w:rsidRPr="00984924">
        <w:t xml:space="preserve"> </w:t>
      </w:r>
      <w:r w:rsidR="005C15F5" w:rsidRPr="00984924">
        <w:rPr>
          <w:rStyle w:val="Hyperlink"/>
          <w:color w:val="auto"/>
          <w:u w:val="none"/>
        </w:rPr>
        <w:t>Insurance c</w:t>
      </w:r>
      <w:r w:rsidRPr="00984924">
        <w:rPr>
          <w:rStyle w:val="Hyperlink"/>
          <w:color w:val="auto"/>
          <w:u w:val="none"/>
        </w:rPr>
        <w:t>laim statistics show that drivers with more penalty poin</w:t>
      </w:r>
      <w:r w:rsidR="00984924" w:rsidRPr="00984924">
        <w:rPr>
          <w:rStyle w:val="Hyperlink"/>
          <w:color w:val="auto"/>
          <w:u w:val="none"/>
        </w:rPr>
        <w:t xml:space="preserve">ts </w:t>
      </w:r>
      <w:r w:rsidRPr="00984924">
        <w:rPr>
          <w:rStyle w:val="Hyperlink"/>
          <w:color w:val="auto"/>
          <w:u w:val="none"/>
        </w:rPr>
        <w:t xml:space="preserve"> have more incidents and are more likely to make a claim.</w:t>
      </w:r>
      <w:r w:rsidRPr="00984924">
        <w:rPr>
          <w:rStyle w:val="FootnoteReference"/>
        </w:rPr>
        <w:footnoteReference w:id="4"/>
      </w:r>
      <w:r w:rsidR="00903FE8" w:rsidRPr="00984924">
        <w:rPr>
          <w:rStyle w:val="Hyperlink"/>
          <w:color w:val="auto"/>
          <w:u w:val="none"/>
        </w:rPr>
        <w:t xml:space="preserve"> </w:t>
      </w:r>
      <w:r w:rsidR="005C15F5" w:rsidRPr="00984924">
        <w:rPr>
          <w:rStyle w:val="Hyperlink"/>
          <w:color w:val="auto"/>
          <w:u w:val="none"/>
        </w:rPr>
        <w:t>The danger that drivers with 12 or more penalty points pose and the hardship</w:t>
      </w:r>
      <w:r w:rsidR="005C15F5">
        <w:rPr>
          <w:rStyle w:val="Hyperlink"/>
          <w:color w:val="auto"/>
          <w:u w:val="none"/>
        </w:rPr>
        <w:t xml:space="preserve"> they may inflict on others should be taken into account by courts when considering claims of exceptional hardship.</w:t>
      </w:r>
      <w:r w:rsidR="0042420E">
        <w:rPr>
          <w:rStyle w:val="Hyperlink"/>
          <w:color w:val="auto"/>
          <w:u w:val="none"/>
        </w:rPr>
        <w:t xml:space="preserve">  </w:t>
      </w:r>
    </w:p>
    <w:p w14:paraId="3EB0F8F3" w14:textId="467BB951" w:rsidR="00D351A1" w:rsidRDefault="005C15F5">
      <w:pPr>
        <w:rPr>
          <w:rStyle w:val="Hyperlink"/>
          <w:color w:val="auto"/>
          <w:u w:val="none"/>
        </w:rPr>
      </w:pPr>
      <w:r>
        <w:rPr>
          <w:rStyle w:val="Hyperlink"/>
          <w:color w:val="auto"/>
          <w:u w:val="none"/>
        </w:rPr>
        <w:t>Furthermore, t</w:t>
      </w:r>
      <w:r w:rsidR="00903FE8">
        <w:rPr>
          <w:rStyle w:val="Hyperlink"/>
          <w:color w:val="auto"/>
          <w:u w:val="none"/>
        </w:rPr>
        <w:t>he success of the penalty points system is dependent on the threat of disqualification. When properly implemented, the threat of suspension significantly reduces the number of collisions and road deaths.</w:t>
      </w:r>
      <w:r w:rsidR="00CE5637" w:rsidRPr="0034304E">
        <w:rPr>
          <w:rStyle w:val="FootnoteReference"/>
        </w:rPr>
        <w:footnoteReference w:id="5"/>
      </w:r>
      <w:r w:rsidR="00CE5637">
        <w:t xml:space="preserve"> </w:t>
      </w:r>
      <w:r w:rsidR="00903FE8">
        <w:rPr>
          <w:rStyle w:val="Hyperlink"/>
          <w:color w:val="auto"/>
          <w:u w:val="none"/>
        </w:rPr>
        <w:t>The deterrent effect provided by penalty points is particularly strong for drivers who have accumulated points</w:t>
      </w:r>
      <w:r w:rsidR="00CE5637">
        <w:rPr>
          <w:rStyle w:val="Hyperlink"/>
          <w:color w:val="auto"/>
          <w:u w:val="none"/>
        </w:rPr>
        <w:t xml:space="preserve"> and are at greater risk of disqualification.</w:t>
      </w:r>
      <w:r w:rsidR="00CE5637" w:rsidRPr="0034304E">
        <w:rPr>
          <w:rStyle w:val="FootnoteReference"/>
        </w:rPr>
        <w:footnoteReference w:id="6"/>
      </w:r>
      <w:r w:rsidR="00CE5637">
        <w:rPr>
          <w:rStyle w:val="Hyperlink"/>
          <w:color w:val="auto"/>
          <w:u w:val="none"/>
        </w:rPr>
        <w:t xml:space="preserve"> </w:t>
      </w:r>
      <w:r w:rsidR="000E2561">
        <w:rPr>
          <w:rStyle w:val="Hyperlink"/>
          <w:color w:val="auto"/>
          <w:u w:val="none"/>
        </w:rPr>
        <w:t>The courts must consider t</w:t>
      </w:r>
      <w:r>
        <w:rPr>
          <w:rStyle w:val="Hyperlink"/>
          <w:color w:val="auto"/>
          <w:u w:val="none"/>
        </w:rPr>
        <w:t xml:space="preserve">he possibility </w:t>
      </w:r>
      <w:r w:rsidR="000E2561">
        <w:rPr>
          <w:rStyle w:val="Hyperlink"/>
          <w:color w:val="auto"/>
          <w:u w:val="none"/>
        </w:rPr>
        <w:t xml:space="preserve">that </w:t>
      </w:r>
      <w:r w:rsidR="00CE5637">
        <w:rPr>
          <w:rStyle w:val="Hyperlink"/>
          <w:color w:val="auto"/>
          <w:u w:val="none"/>
        </w:rPr>
        <w:t>granting of exceptional hardship claims</w:t>
      </w:r>
      <w:r>
        <w:rPr>
          <w:rStyle w:val="Hyperlink"/>
          <w:color w:val="auto"/>
          <w:u w:val="none"/>
        </w:rPr>
        <w:t xml:space="preserve"> </w:t>
      </w:r>
      <w:r w:rsidR="000E2561">
        <w:rPr>
          <w:rStyle w:val="Hyperlink"/>
          <w:color w:val="auto"/>
          <w:u w:val="none"/>
        </w:rPr>
        <w:t xml:space="preserve">will </w:t>
      </w:r>
      <w:r w:rsidR="00702839">
        <w:rPr>
          <w:rStyle w:val="Hyperlink"/>
          <w:color w:val="auto"/>
          <w:u w:val="none"/>
        </w:rPr>
        <w:t xml:space="preserve">fundamentally </w:t>
      </w:r>
      <w:r>
        <w:rPr>
          <w:rStyle w:val="Hyperlink"/>
          <w:color w:val="auto"/>
          <w:u w:val="none"/>
        </w:rPr>
        <w:t>undermin</w:t>
      </w:r>
      <w:r w:rsidR="000E2561">
        <w:rPr>
          <w:rStyle w:val="Hyperlink"/>
          <w:color w:val="auto"/>
          <w:u w:val="none"/>
        </w:rPr>
        <w:t xml:space="preserve">e </w:t>
      </w:r>
      <w:r w:rsidR="000C4574">
        <w:rPr>
          <w:rStyle w:val="Hyperlink"/>
          <w:color w:val="auto"/>
          <w:u w:val="none"/>
        </w:rPr>
        <w:t>the deterrent effect</w:t>
      </w:r>
      <w:r w:rsidR="008C6E17">
        <w:rPr>
          <w:rStyle w:val="Hyperlink"/>
          <w:color w:val="auto"/>
          <w:u w:val="none"/>
        </w:rPr>
        <w:t xml:space="preserve"> provided by</w:t>
      </w:r>
      <w:r w:rsidR="003D27B0">
        <w:rPr>
          <w:rStyle w:val="Hyperlink"/>
          <w:color w:val="auto"/>
          <w:u w:val="none"/>
        </w:rPr>
        <w:t xml:space="preserve"> </w:t>
      </w:r>
      <w:r>
        <w:rPr>
          <w:rStyle w:val="Hyperlink"/>
          <w:color w:val="auto"/>
          <w:u w:val="none"/>
        </w:rPr>
        <w:t>the penalty points system</w:t>
      </w:r>
      <w:r w:rsidR="00CE5637">
        <w:rPr>
          <w:rStyle w:val="Hyperlink"/>
          <w:color w:val="auto"/>
          <w:u w:val="none"/>
        </w:rPr>
        <w:t>.</w:t>
      </w:r>
    </w:p>
    <w:p w14:paraId="21F524F7" w14:textId="0F5D48D8" w:rsidR="0036595E" w:rsidRDefault="0036595E">
      <w:pPr>
        <w:rPr>
          <w:rStyle w:val="Hyperlink"/>
          <w:color w:val="auto"/>
          <w:u w:val="none"/>
        </w:rPr>
      </w:pPr>
      <w:r>
        <w:rPr>
          <w:rStyle w:val="Hyperlink"/>
          <w:color w:val="auto"/>
          <w:u w:val="none"/>
        </w:rPr>
        <w:t>There are currently over 10</w:t>
      </w:r>
      <w:r w:rsidR="00831C99">
        <w:rPr>
          <w:rStyle w:val="Hyperlink"/>
          <w:color w:val="auto"/>
          <w:u w:val="none"/>
        </w:rPr>
        <w:t>,</w:t>
      </w:r>
      <w:r>
        <w:rPr>
          <w:rStyle w:val="Hyperlink"/>
          <w:color w:val="auto"/>
          <w:u w:val="none"/>
        </w:rPr>
        <w:t xml:space="preserve">000 drivers who have more than 12 points on their </w:t>
      </w:r>
      <w:r w:rsidR="0042420E">
        <w:rPr>
          <w:rStyle w:val="Hyperlink"/>
          <w:color w:val="auto"/>
          <w:u w:val="none"/>
        </w:rPr>
        <w:t>licence</w:t>
      </w:r>
      <w:r>
        <w:rPr>
          <w:rStyle w:val="Hyperlink"/>
          <w:color w:val="auto"/>
          <w:u w:val="none"/>
        </w:rPr>
        <w:t xml:space="preserve"> and are not disqualified, many of whom claimed exceptional hardship to avoid disqualification. Drivers with more than 12 points on their </w:t>
      </w:r>
      <w:r w:rsidR="0042420E">
        <w:rPr>
          <w:rStyle w:val="Hyperlink"/>
          <w:color w:val="auto"/>
          <w:u w:val="none"/>
        </w:rPr>
        <w:t>licence</w:t>
      </w:r>
      <w:r>
        <w:rPr>
          <w:rStyle w:val="Hyperlink"/>
          <w:color w:val="auto"/>
          <w:u w:val="none"/>
        </w:rPr>
        <w:t xml:space="preserve"> are likely to pose a significantly greater risk to themselves and the general public than other drivers. </w:t>
      </w:r>
      <w:r w:rsidR="000E2561">
        <w:rPr>
          <w:rStyle w:val="Hyperlink"/>
          <w:color w:val="auto"/>
          <w:u w:val="none"/>
        </w:rPr>
        <w:t>Driving is not a right; it is a privilege granted by licence. In PACTS’ view, t</w:t>
      </w:r>
      <w:r>
        <w:rPr>
          <w:rStyle w:val="Hyperlink"/>
          <w:color w:val="auto"/>
          <w:u w:val="none"/>
        </w:rPr>
        <w:t>hese dangerous drivers have no right to continue to drive</w:t>
      </w:r>
      <w:r w:rsidR="004048F1">
        <w:rPr>
          <w:rStyle w:val="Hyperlink"/>
          <w:color w:val="auto"/>
          <w:u w:val="none"/>
        </w:rPr>
        <w:t xml:space="preserve">, </w:t>
      </w:r>
      <w:r w:rsidR="00C0622D">
        <w:rPr>
          <w:rStyle w:val="Hyperlink"/>
          <w:color w:val="auto"/>
          <w:u w:val="none"/>
        </w:rPr>
        <w:t>should only be allowed to</w:t>
      </w:r>
      <w:r w:rsidR="004048F1">
        <w:rPr>
          <w:rStyle w:val="Hyperlink"/>
          <w:color w:val="auto"/>
          <w:u w:val="none"/>
        </w:rPr>
        <w:t xml:space="preserve"> do so </w:t>
      </w:r>
      <w:r w:rsidR="00C0622D">
        <w:rPr>
          <w:rStyle w:val="Hyperlink"/>
          <w:color w:val="auto"/>
          <w:u w:val="none"/>
        </w:rPr>
        <w:t>in highly exceptional circumstances</w:t>
      </w:r>
      <w:r w:rsidR="00CF68F8">
        <w:rPr>
          <w:rStyle w:val="Hyperlink"/>
          <w:color w:val="auto"/>
          <w:u w:val="none"/>
        </w:rPr>
        <w:t xml:space="preserve">. They have consistently driven without regard to the law and the safety of others. The overwhelming majority of drivers (93%) have no points on their </w:t>
      </w:r>
      <w:r w:rsidR="0042420E">
        <w:rPr>
          <w:rStyle w:val="Hyperlink"/>
          <w:color w:val="auto"/>
          <w:u w:val="none"/>
        </w:rPr>
        <w:t>licence</w:t>
      </w:r>
      <w:r w:rsidR="00CF68F8">
        <w:rPr>
          <w:rStyle w:val="Hyperlink"/>
          <w:color w:val="auto"/>
          <w:u w:val="none"/>
        </w:rPr>
        <w:t>.</w:t>
      </w:r>
      <w:r w:rsidR="005C15F5">
        <w:rPr>
          <w:rStyle w:val="FootnoteReference"/>
        </w:rPr>
        <w:footnoteReference w:id="7"/>
      </w:r>
      <w:r w:rsidR="00CF68F8">
        <w:rPr>
          <w:rStyle w:val="Hyperlink"/>
          <w:color w:val="auto"/>
          <w:u w:val="none"/>
        </w:rPr>
        <w:t xml:space="preserve"> A driver is extremely unlikely to be disqualified for one incident. Knowing the harms that los</w:t>
      </w:r>
      <w:r w:rsidR="000E2561">
        <w:rPr>
          <w:rStyle w:val="Hyperlink"/>
          <w:color w:val="auto"/>
          <w:u w:val="none"/>
        </w:rPr>
        <w:t xml:space="preserve">s of </w:t>
      </w:r>
      <w:r w:rsidR="0042420E">
        <w:rPr>
          <w:rStyle w:val="Hyperlink"/>
          <w:color w:val="auto"/>
          <w:u w:val="none"/>
        </w:rPr>
        <w:t>licence</w:t>
      </w:r>
      <w:r w:rsidR="00CF68F8">
        <w:rPr>
          <w:rStyle w:val="Hyperlink"/>
          <w:color w:val="auto"/>
          <w:u w:val="none"/>
        </w:rPr>
        <w:t xml:space="preserve"> would have on their life, a driver </w:t>
      </w:r>
      <w:r w:rsidR="00F60FBB">
        <w:rPr>
          <w:rStyle w:val="Hyperlink"/>
          <w:color w:val="auto"/>
          <w:u w:val="none"/>
        </w:rPr>
        <w:t xml:space="preserve">who </w:t>
      </w:r>
      <w:r w:rsidR="00397F25">
        <w:rPr>
          <w:rStyle w:val="Hyperlink"/>
          <w:color w:val="auto"/>
          <w:u w:val="none"/>
        </w:rPr>
        <w:t xml:space="preserve">faces </w:t>
      </w:r>
      <w:r w:rsidR="00DD5BED">
        <w:rPr>
          <w:rStyle w:val="Hyperlink"/>
          <w:color w:val="auto"/>
          <w:u w:val="none"/>
        </w:rPr>
        <w:t xml:space="preserve">a totting up disqualification </w:t>
      </w:r>
      <w:r w:rsidR="00CF68F8">
        <w:rPr>
          <w:rStyle w:val="Hyperlink"/>
          <w:color w:val="auto"/>
          <w:u w:val="none"/>
        </w:rPr>
        <w:t xml:space="preserve">has continued to drive dangerously. This should be </w:t>
      </w:r>
      <w:proofErr w:type="gramStart"/>
      <w:r w:rsidR="00CF68F8">
        <w:rPr>
          <w:rStyle w:val="Hyperlink"/>
          <w:color w:val="auto"/>
          <w:u w:val="none"/>
        </w:rPr>
        <w:t>taken into account</w:t>
      </w:r>
      <w:proofErr w:type="gramEnd"/>
      <w:r w:rsidR="00CF68F8">
        <w:rPr>
          <w:rStyle w:val="Hyperlink"/>
          <w:color w:val="auto"/>
          <w:u w:val="none"/>
        </w:rPr>
        <w:t xml:space="preserve"> when considering claims of exceptional hardsh</w:t>
      </w:r>
      <w:r w:rsidR="00903FE8">
        <w:rPr>
          <w:rStyle w:val="Hyperlink"/>
          <w:color w:val="auto"/>
          <w:u w:val="none"/>
        </w:rPr>
        <w:t>ip.</w:t>
      </w:r>
    </w:p>
    <w:p w14:paraId="08C031EE" w14:textId="64338BC9" w:rsidR="00FC253F" w:rsidRPr="00FC253F" w:rsidRDefault="00FC253F">
      <w:pPr>
        <w:rPr>
          <w:rStyle w:val="Hyperlink"/>
          <w:i/>
          <w:iCs/>
          <w:color w:val="auto"/>
          <w:u w:val="none"/>
        </w:rPr>
      </w:pPr>
      <w:r w:rsidRPr="00FC253F">
        <w:rPr>
          <w:rStyle w:val="Hyperlink"/>
          <w:i/>
          <w:iCs/>
          <w:color w:val="auto"/>
          <w:u w:val="none"/>
        </w:rPr>
        <w:t>Question 10-11</w:t>
      </w:r>
    </w:p>
    <w:p w14:paraId="72D11642" w14:textId="36A7A8B7" w:rsidR="000948A6" w:rsidRPr="005E2568" w:rsidRDefault="00FC253F" w:rsidP="000948A6">
      <w:r>
        <w:rPr>
          <w:rStyle w:val="Hyperlink"/>
          <w:color w:val="auto"/>
          <w:u w:val="none"/>
        </w:rPr>
        <w:t>NA</w:t>
      </w:r>
    </w:p>
    <w:sectPr w:rsidR="000948A6" w:rsidRPr="005E2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A43F" w14:textId="77777777" w:rsidR="00E8191B" w:rsidRDefault="00E8191B" w:rsidP="001A622D">
      <w:pPr>
        <w:spacing w:after="0" w:line="240" w:lineRule="auto"/>
      </w:pPr>
      <w:r>
        <w:separator/>
      </w:r>
    </w:p>
  </w:endnote>
  <w:endnote w:type="continuationSeparator" w:id="0">
    <w:p w14:paraId="3BD3DF01" w14:textId="77777777" w:rsidR="00E8191B" w:rsidRDefault="00E8191B" w:rsidP="001A622D">
      <w:pPr>
        <w:spacing w:after="0" w:line="240" w:lineRule="auto"/>
      </w:pPr>
      <w:r>
        <w:continuationSeparator/>
      </w:r>
    </w:p>
  </w:endnote>
  <w:endnote w:type="continuationNotice" w:id="1">
    <w:p w14:paraId="1F8ED8D0" w14:textId="77777777" w:rsidR="00E8191B" w:rsidRDefault="00E81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8A502" w14:textId="77777777" w:rsidR="00E8191B" w:rsidRDefault="00E8191B" w:rsidP="001A622D">
      <w:pPr>
        <w:spacing w:after="0" w:line="240" w:lineRule="auto"/>
      </w:pPr>
      <w:r>
        <w:separator/>
      </w:r>
    </w:p>
  </w:footnote>
  <w:footnote w:type="continuationSeparator" w:id="0">
    <w:p w14:paraId="0F4EFB1F" w14:textId="77777777" w:rsidR="00E8191B" w:rsidRDefault="00E8191B" w:rsidP="001A622D">
      <w:pPr>
        <w:spacing w:after="0" w:line="240" w:lineRule="auto"/>
      </w:pPr>
      <w:r>
        <w:continuationSeparator/>
      </w:r>
    </w:p>
  </w:footnote>
  <w:footnote w:type="continuationNotice" w:id="1">
    <w:p w14:paraId="1E481EC8" w14:textId="77777777" w:rsidR="00E8191B" w:rsidRDefault="00E8191B">
      <w:pPr>
        <w:spacing w:after="0" w:line="240" w:lineRule="auto"/>
      </w:pPr>
    </w:p>
  </w:footnote>
  <w:footnote w:id="2">
    <w:p w14:paraId="58E0ED01" w14:textId="625F6DFF" w:rsidR="0036595E" w:rsidRPr="005C15F5" w:rsidRDefault="0036595E" w:rsidP="005C15F5">
      <w:pPr>
        <w:pStyle w:val="NoSpacing"/>
        <w:rPr>
          <w:sz w:val="18"/>
          <w:szCs w:val="18"/>
        </w:rPr>
      </w:pPr>
      <w:r w:rsidRPr="005C15F5">
        <w:rPr>
          <w:rStyle w:val="FootnoteReference"/>
          <w:rFonts w:cstheme="minorHAnsi"/>
          <w:sz w:val="18"/>
          <w:szCs w:val="18"/>
        </w:rPr>
        <w:footnoteRef/>
      </w:r>
      <w:r w:rsidRPr="005C15F5">
        <w:rPr>
          <w:sz w:val="18"/>
          <w:szCs w:val="18"/>
        </w:rPr>
        <w:t xml:space="preserve"> SWOV. (2012). </w:t>
      </w:r>
      <w:r w:rsidRPr="005C15F5">
        <w:rPr>
          <w:i/>
          <w:iCs/>
          <w:sz w:val="18"/>
          <w:szCs w:val="18"/>
        </w:rPr>
        <w:t>Fact Sheet: Demerit points systems</w:t>
      </w:r>
      <w:r w:rsidRPr="005C15F5">
        <w:rPr>
          <w:sz w:val="18"/>
          <w:szCs w:val="18"/>
        </w:rPr>
        <w:t>. SWOV;</w:t>
      </w:r>
      <w:r w:rsidRPr="005C15F5">
        <w:rPr>
          <w:sz w:val="18"/>
          <w:szCs w:val="18"/>
        </w:rPr>
        <w:br/>
      </w:r>
      <w:r w:rsidRPr="005C15F5">
        <w:rPr>
          <w:rFonts w:eastAsia="Times New Roman"/>
          <w:sz w:val="18"/>
          <w:szCs w:val="18"/>
          <w:lang w:eastAsia="en-GB"/>
        </w:rPr>
        <w:t xml:space="preserve">ETSC. (2008). </w:t>
      </w:r>
      <w:r w:rsidRPr="005C15F5">
        <w:rPr>
          <w:rFonts w:eastAsia="Times New Roman"/>
          <w:i/>
          <w:iCs/>
          <w:sz w:val="18"/>
          <w:szCs w:val="18"/>
          <w:lang w:eastAsia="en-GB"/>
        </w:rPr>
        <w:t>Combatting Speed through Penalty Point Systems</w:t>
      </w:r>
      <w:r w:rsidRPr="005C15F5">
        <w:rPr>
          <w:rFonts w:eastAsia="Times New Roman"/>
          <w:sz w:val="18"/>
          <w:szCs w:val="18"/>
          <w:lang w:eastAsia="en-GB"/>
        </w:rPr>
        <w:t>. ETSC;</w:t>
      </w:r>
      <w:r w:rsidRPr="005C15F5">
        <w:rPr>
          <w:rFonts w:eastAsia="Times New Roman"/>
          <w:sz w:val="18"/>
          <w:szCs w:val="18"/>
          <w:lang w:eastAsia="en-GB"/>
        </w:rPr>
        <w:br/>
      </w:r>
      <w:r w:rsidRPr="005C15F5">
        <w:rPr>
          <w:sz w:val="18"/>
          <w:szCs w:val="18"/>
          <w:shd w:val="clear" w:color="auto" w:fill="FFFFFF"/>
        </w:rPr>
        <w:t xml:space="preserve">Walter, S., </w:t>
      </w:r>
      <w:proofErr w:type="spellStart"/>
      <w:r w:rsidRPr="005C15F5">
        <w:rPr>
          <w:sz w:val="18"/>
          <w:szCs w:val="18"/>
          <w:shd w:val="clear" w:color="auto" w:fill="FFFFFF"/>
        </w:rPr>
        <w:t>Studdert</w:t>
      </w:r>
      <w:proofErr w:type="spellEnd"/>
      <w:r w:rsidRPr="005C15F5">
        <w:rPr>
          <w:sz w:val="18"/>
          <w:szCs w:val="18"/>
          <w:shd w:val="clear" w:color="auto" w:fill="FFFFFF"/>
        </w:rPr>
        <w:t>, D. (2015). Relationship between penalties for road traffic infringements and crash risk in Queensland, Australia: a case-crossover study, </w:t>
      </w:r>
      <w:r w:rsidRPr="005C15F5">
        <w:rPr>
          <w:rStyle w:val="Emphasis"/>
          <w:rFonts w:cstheme="minorHAnsi"/>
          <w:color w:val="2A2A2A"/>
          <w:sz w:val="18"/>
          <w:szCs w:val="18"/>
          <w:bdr w:val="none" w:sz="0" w:space="0" w:color="auto" w:frame="1"/>
          <w:shd w:val="clear" w:color="auto" w:fill="FFFFFF"/>
        </w:rPr>
        <w:t>International Journal of Epidemiology</w:t>
      </w:r>
      <w:r w:rsidRPr="005C15F5">
        <w:rPr>
          <w:sz w:val="18"/>
          <w:szCs w:val="18"/>
          <w:shd w:val="clear" w:color="auto" w:fill="FFFFFF"/>
        </w:rPr>
        <w:t>, 44(5), 1722–1730;</w:t>
      </w:r>
      <w:r w:rsidRPr="005C15F5">
        <w:rPr>
          <w:sz w:val="18"/>
          <w:szCs w:val="18"/>
          <w:shd w:val="clear" w:color="auto" w:fill="FFFFFF"/>
        </w:rPr>
        <w:br/>
        <w:t xml:space="preserve"> Chen, W., Cooper, P., and </w:t>
      </w:r>
      <w:proofErr w:type="spellStart"/>
      <w:r w:rsidRPr="005C15F5">
        <w:rPr>
          <w:sz w:val="18"/>
          <w:szCs w:val="18"/>
          <w:shd w:val="clear" w:color="auto" w:fill="FFFFFF"/>
        </w:rPr>
        <w:t>Pinili</w:t>
      </w:r>
      <w:proofErr w:type="spellEnd"/>
      <w:r w:rsidRPr="005C15F5">
        <w:rPr>
          <w:sz w:val="18"/>
          <w:szCs w:val="18"/>
          <w:shd w:val="clear" w:color="auto" w:fill="FFFFFF"/>
        </w:rPr>
        <w:t xml:space="preserve">, M. (1995). ‘Driver accident risk in relation to the penalty point system in British Columbia’. </w:t>
      </w:r>
      <w:r w:rsidRPr="005C15F5">
        <w:rPr>
          <w:i/>
          <w:iCs/>
          <w:sz w:val="18"/>
          <w:szCs w:val="18"/>
          <w:shd w:val="clear" w:color="auto" w:fill="FFFFFF"/>
        </w:rPr>
        <w:t xml:space="preserve">Journal of Safety Research, </w:t>
      </w:r>
      <w:r w:rsidRPr="005C15F5">
        <w:rPr>
          <w:sz w:val="18"/>
          <w:szCs w:val="18"/>
          <w:shd w:val="clear" w:color="auto" w:fill="FFFFFF"/>
        </w:rPr>
        <w:t>26(1), 9-18;</w:t>
      </w:r>
      <w:r w:rsidRPr="005C15F5">
        <w:rPr>
          <w:sz w:val="18"/>
          <w:szCs w:val="18"/>
          <w:shd w:val="clear" w:color="auto" w:fill="FFFFFF"/>
        </w:rPr>
        <w:br/>
        <w:t xml:space="preserve">Ahmed, M., </w:t>
      </w:r>
      <w:proofErr w:type="spellStart"/>
      <w:r w:rsidRPr="005C15F5">
        <w:rPr>
          <w:sz w:val="18"/>
          <w:szCs w:val="18"/>
          <w:shd w:val="clear" w:color="auto" w:fill="FFFFFF"/>
        </w:rPr>
        <w:t>Sahnoon</w:t>
      </w:r>
      <w:proofErr w:type="spellEnd"/>
      <w:r w:rsidRPr="005C15F5">
        <w:rPr>
          <w:sz w:val="18"/>
          <w:szCs w:val="18"/>
          <w:shd w:val="clear" w:color="auto" w:fill="FFFFFF"/>
        </w:rPr>
        <w:t>, I., Al-Badi, Y., and Al-</w:t>
      </w:r>
      <w:proofErr w:type="spellStart"/>
      <w:r w:rsidRPr="005C15F5">
        <w:rPr>
          <w:sz w:val="18"/>
          <w:szCs w:val="18"/>
          <w:shd w:val="clear" w:color="auto" w:fill="FFFFFF"/>
        </w:rPr>
        <w:t>Harthi</w:t>
      </w:r>
      <w:proofErr w:type="spellEnd"/>
      <w:r w:rsidRPr="005C15F5">
        <w:rPr>
          <w:sz w:val="18"/>
          <w:szCs w:val="18"/>
          <w:shd w:val="clear" w:color="auto" w:fill="FFFFFF"/>
        </w:rPr>
        <w:t xml:space="preserve">, H. (2016). ‘The Relationship Between Traffic Rule Violations and Accident Involvement Records of Drivers’. </w:t>
      </w:r>
      <w:r w:rsidRPr="005C15F5">
        <w:rPr>
          <w:rFonts w:eastAsia="Times New Roman"/>
          <w:i/>
          <w:iCs/>
          <w:sz w:val="18"/>
          <w:szCs w:val="18"/>
          <w:bdr w:val="none" w:sz="0" w:space="0" w:color="auto" w:frame="1"/>
          <w:lang w:eastAsia="en-GB"/>
        </w:rPr>
        <w:t>Proceedings of the AHFE 2016 International Conference on Human Factors in Transportation</w:t>
      </w:r>
      <w:r w:rsidRPr="005C15F5">
        <w:rPr>
          <w:rFonts w:eastAsia="Times New Roman"/>
          <w:sz w:val="18"/>
          <w:szCs w:val="18"/>
          <w:bdr w:val="none" w:sz="0" w:space="0" w:color="auto" w:frame="1"/>
          <w:lang w:eastAsia="en-GB"/>
        </w:rPr>
        <w:t xml:space="preserve">, </w:t>
      </w:r>
      <w:r w:rsidRPr="005C15F5">
        <w:rPr>
          <w:rFonts w:eastAsia="Times New Roman"/>
          <w:sz w:val="18"/>
          <w:szCs w:val="18"/>
          <w:lang w:eastAsia="en-GB"/>
        </w:rPr>
        <w:t>745-755;</w:t>
      </w:r>
      <w:r w:rsidRPr="005C15F5">
        <w:rPr>
          <w:rFonts w:eastAsia="Times New Roman"/>
          <w:sz w:val="18"/>
          <w:szCs w:val="18"/>
          <w:lang w:eastAsia="en-GB"/>
        </w:rPr>
        <w:br/>
      </w:r>
      <w:r w:rsidRPr="005C15F5">
        <w:rPr>
          <w:rStyle w:val="Hyperlink"/>
          <w:rFonts w:cstheme="minorHAnsi"/>
          <w:color w:val="auto"/>
          <w:sz w:val="18"/>
          <w:szCs w:val="18"/>
          <w:u w:val="none"/>
        </w:rPr>
        <w:t xml:space="preserve">Wang, C., Liu, L., Xu, C., and </w:t>
      </w:r>
      <w:proofErr w:type="spellStart"/>
      <w:r w:rsidRPr="005C15F5">
        <w:rPr>
          <w:rStyle w:val="Hyperlink"/>
          <w:rFonts w:cstheme="minorHAnsi"/>
          <w:color w:val="auto"/>
          <w:sz w:val="18"/>
          <w:szCs w:val="18"/>
          <w:u w:val="none"/>
        </w:rPr>
        <w:t>Lv</w:t>
      </w:r>
      <w:proofErr w:type="spellEnd"/>
      <w:r w:rsidRPr="005C15F5">
        <w:rPr>
          <w:rStyle w:val="Hyperlink"/>
          <w:rFonts w:cstheme="minorHAnsi"/>
          <w:color w:val="auto"/>
          <w:sz w:val="18"/>
          <w:szCs w:val="18"/>
          <w:u w:val="none"/>
        </w:rPr>
        <w:t xml:space="preserve">, W. (2019). ‘Predicting Future Driving Risk of Crash-Involved Drivers Based on a Systematic Machine Learning Framework’. </w:t>
      </w:r>
      <w:r w:rsidRPr="005C15F5">
        <w:rPr>
          <w:rStyle w:val="Hyperlink"/>
          <w:rFonts w:cstheme="minorHAnsi"/>
          <w:i/>
          <w:iCs/>
          <w:color w:val="auto"/>
          <w:sz w:val="18"/>
          <w:szCs w:val="18"/>
          <w:u w:val="none"/>
        </w:rPr>
        <w:t>International Journal of Environmental Research and Public Health</w:t>
      </w:r>
      <w:r w:rsidRPr="005C15F5">
        <w:rPr>
          <w:rStyle w:val="Hyperlink"/>
          <w:rFonts w:cstheme="minorHAnsi"/>
          <w:color w:val="auto"/>
          <w:sz w:val="18"/>
          <w:szCs w:val="18"/>
          <w:u w:val="none"/>
        </w:rPr>
        <w:t>, 16(334)</w:t>
      </w:r>
    </w:p>
  </w:footnote>
  <w:footnote w:id="3">
    <w:p w14:paraId="3917EF08" w14:textId="4E36145E" w:rsidR="005C15F5" w:rsidRDefault="005C15F5" w:rsidP="005C15F5">
      <w:pPr>
        <w:pStyle w:val="FootnoteText"/>
      </w:pPr>
      <w:r>
        <w:rPr>
          <w:rStyle w:val="FootnoteReference"/>
        </w:rPr>
        <w:footnoteRef/>
      </w:r>
      <w:r>
        <w:t xml:space="preserve"> Association of British Insurers (2019). </w:t>
      </w:r>
      <w:r w:rsidRPr="005C15F5">
        <w:rPr>
          <w:i/>
          <w:iCs/>
        </w:rPr>
        <w:t>Do penalty points affect my car insurance</w:t>
      </w:r>
      <w:r>
        <w:t xml:space="preserve">? ABI; </w:t>
      </w:r>
      <w:r>
        <w:br/>
        <w:t xml:space="preserve">AVIVA (2019). </w:t>
      </w:r>
      <w:r w:rsidRPr="005C15F5">
        <w:rPr>
          <w:i/>
          <w:iCs/>
        </w:rPr>
        <w:t>How penalty points affect insurance</w:t>
      </w:r>
      <w:r>
        <w:t>. AVIVA.</w:t>
      </w:r>
    </w:p>
  </w:footnote>
  <w:footnote w:id="4">
    <w:p w14:paraId="327B8B5A" w14:textId="683ED9CA" w:rsidR="0036595E" w:rsidRDefault="0036595E" w:rsidP="0036595E">
      <w:pPr>
        <w:pStyle w:val="FootnoteText"/>
      </w:pPr>
      <w:r>
        <w:rPr>
          <w:rStyle w:val="FootnoteReference"/>
        </w:rPr>
        <w:footnoteRef/>
      </w:r>
      <w:r>
        <w:t xml:space="preserve"> Association of British Insurers (2019). </w:t>
      </w:r>
      <w:r w:rsidRPr="005C15F5">
        <w:rPr>
          <w:i/>
          <w:iCs/>
        </w:rPr>
        <w:t>Do penalty points affect my car insurance</w:t>
      </w:r>
      <w:r>
        <w:t>? ABI</w:t>
      </w:r>
      <w:r w:rsidR="005C15F5">
        <w:t>.</w:t>
      </w:r>
    </w:p>
  </w:footnote>
  <w:footnote w:id="5">
    <w:p w14:paraId="4E42997C" w14:textId="09BFBB71" w:rsidR="00CE5637" w:rsidRPr="00ED1101" w:rsidRDefault="00CE5637" w:rsidP="00CE5637">
      <w:pPr>
        <w:pStyle w:val="FootnoteText"/>
        <w:rPr>
          <w:sz w:val="18"/>
          <w:szCs w:val="22"/>
        </w:rPr>
      </w:pPr>
      <w:r w:rsidRPr="00ED1101">
        <w:rPr>
          <w:rStyle w:val="FootnoteReference"/>
          <w:sz w:val="18"/>
          <w:szCs w:val="22"/>
        </w:rPr>
        <w:footnoteRef/>
      </w:r>
      <w:r w:rsidRPr="00ED1101">
        <w:rPr>
          <w:sz w:val="18"/>
          <w:szCs w:val="22"/>
        </w:rPr>
        <w:t xml:space="preserve"> </w:t>
      </w:r>
      <w:proofErr w:type="spellStart"/>
      <w:r w:rsidRPr="00ED1101">
        <w:rPr>
          <w:sz w:val="18"/>
          <w:szCs w:val="22"/>
        </w:rPr>
        <w:t>Avineri</w:t>
      </w:r>
      <w:proofErr w:type="spellEnd"/>
      <w:r w:rsidRPr="00ED1101">
        <w:rPr>
          <w:sz w:val="18"/>
          <w:szCs w:val="22"/>
        </w:rPr>
        <w:t xml:space="preserve">, E., and Goodwin, P. (Eds) (2009). </w:t>
      </w:r>
      <w:r w:rsidRPr="00ED1101">
        <w:rPr>
          <w:i/>
          <w:sz w:val="18"/>
          <w:szCs w:val="22"/>
        </w:rPr>
        <w:t>Individual Behaviour Change: Evidence in transport and public health</w:t>
      </w:r>
      <w:r w:rsidRPr="00ED1101">
        <w:rPr>
          <w:sz w:val="18"/>
          <w:szCs w:val="22"/>
        </w:rPr>
        <w:t>. UWE Centre for Transport &amp; Society, DfT.</w:t>
      </w:r>
      <w:r>
        <w:rPr>
          <w:sz w:val="18"/>
          <w:szCs w:val="22"/>
        </w:rPr>
        <w:br/>
      </w:r>
      <w:r w:rsidRPr="00ED1101">
        <w:rPr>
          <w:sz w:val="18"/>
          <w:szCs w:val="22"/>
        </w:rPr>
        <w:t xml:space="preserve">Lee, J., Park, B., and Lee, C. (2018). Deterrent effects of demerit points and license sanctions on drivers’ traffic law violations using a proportional hazard model.’ </w:t>
      </w:r>
      <w:r w:rsidRPr="00ED1101">
        <w:rPr>
          <w:i/>
          <w:sz w:val="18"/>
          <w:szCs w:val="22"/>
        </w:rPr>
        <w:t>Accident Analysis &amp; Prevention,</w:t>
      </w:r>
      <w:r w:rsidRPr="00ED1101">
        <w:rPr>
          <w:sz w:val="18"/>
          <w:szCs w:val="22"/>
        </w:rPr>
        <w:t xml:space="preserve"> 113, 279-286.</w:t>
      </w:r>
    </w:p>
  </w:footnote>
  <w:footnote w:id="6">
    <w:p w14:paraId="357E58A2" w14:textId="53C41638" w:rsidR="00CE5637" w:rsidRPr="00ED1101" w:rsidRDefault="00CE5637" w:rsidP="00CE5637">
      <w:pPr>
        <w:pStyle w:val="FootnoteText"/>
        <w:rPr>
          <w:sz w:val="18"/>
          <w:szCs w:val="22"/>
        </w:rPr>
      </w:pPr>
      <w:r w:rsidRPr="00ED1101">
        <w:rPr>
          <w:rStyle w:val="FootnoteReference"/>
          <w:sz w:val="18"/>
          <w:szCs w:val="22"/>
        </w:rPr>
        <w:footnoteRef/>
      </w:r>
      <w:r w:rsidRPr="00ED1101">
        <w:rPr>
          <w:sz w:val="18"/>
          <w:szCs w:val="22"/>
        </w:rPr>
        <w:t xml:space="preserve"> Corbett, C., </w:t>
      </w:r>
      <w:proofErr w:type="spellStart"/>
      <w:r w:rsidRPr="00ED1101">
        <w:rPr>
          <w:sz w:val="18"/>
          <w:szCs w:val="22"/>
        </w:rPr>
        <w:t>Delmonte</w:t>
      </w:r>
      <w:proofErr w:type="spellEnd"/>
      <w:r w:rsidRPr="00ED1101">
        <w:rPr>
          <w:sz w:val="18"/>
          <w:szCs w:val="22"/>
        </w:rPr>
        <w:t xml:space="preserve">, E., Quimby, A. and Grayson, G. (2008). ‘The deterrent effect of penalty points on speeding drivers.’ </w:t>
      </w:r>
      <w:r w:rsidRPr="00ED1101">
        <w:rPr>
          <w:i/>
          <w:sz w:val="18"/>
          <w:szCs w:val="22"/>
        </w:rPr>
        <w:t>Proceedings of the Behavioural Research in Road Safety, Eighteenth Seminar</w:t>
      </w:r>
      <w:r w:rsidRPr="00ED1101">
        <w:rPr>
          <w:sz w:val="18"/>
          <w:szCs w:val="22"/>
        </w:rPr>
        <w:t>.</w:t>
      </w:r>
      <w:r>
        <w:rPr>
          <w:sz w:val="18"/>
          <w:szCs w:val="22"/>
        </w:rPr>
        <w:t>;</w:t>
      </w:r>
      <w:r>
        <w:rPr>
          <w:sz w:val="18"/>
          <w:szCs w:val="22"/>
        </w:rPr>
        <w:br/>
      </w:r>
      <w:proofErr w:type="spellStart"/>
      <w:r w:rsidRPr="00ED1101">
        <w:rPr>
          <w:sz w:val="18"/>
          <w:szCs w:val="22"/>
        </w:rPr>
        <w:t>Sagberg</w:t>
      </w:r>
      <w:proofErr w:type="spellEnd"/>
      <w:r w:rsidRPr="00ED1101">
        <w:rPr>
          <w:sz w:val="18"/>
          <w:szCs w:val="22"/>
        </w:rPr>
        <w:t xml:space="preserve">, F., and Ingebrigtsen, R. (2018). ‘Effects of a penalty point system on traffic violations.’ </w:t>
      </w:r>
      <w:r w:rsidRPr="00ED1101">
        <w:rPr>
          <w:i/>
          <w:sz w:val="18"/>
          <w:szCs w:val="22"/>
        </w:rPr>
        <w:t>Accident Analysis &amp; Prevention</w:t>
      </w:r>
      <w:r w:rsidRPr="00ED1101">
        <w:rPr>
          <w:sz w:val="18"/>
          <w:szCs w:val="22"/>
        </w:rPr>
        <w:t>, 110, 71-77.</w:t>
      </w:r>
    </w:p>
  </w:footnote>
  <w:footnote w:id="7">
    <w:p w14:paraId="3305D5B9" w14:textId="48EE4BF3" w:rsidR="005C15F5" w:rsidRDefault="005C15F5">
      <w:pPr>
        <w:pStyle w:val="FootnoteText"/>
      </w:pPr>
      <w:r>
        <w:rPr>
          <w:rStyle w:val="FootnoteReference"/>
        </w:rPr>
        <w:footnoteRef/>
      </w:r>
      <w:r>
        <w:t xml:space="preserve"> Department for Transport. (2019). </w:t>
      </w:r>
      <w:r w:rsidRPr="005C15F5">
        <w:rPr>
          <w:i/>
          <w:iCs/>
        </w:rPr>
        <w:t>GB Driving Licence Data</w:t>
      </w:r>
      <w:r>
        <w:t>. DfT.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D722D"/>
    <w:multiLevelType w:val="hybridMultilevel"/>
    <w:tmpl w:val="0F9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5501A"/>
    <w:multiLevelType w:val="hybridMultilevel"/>
    <w:tmpl w:val="636A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DB"/>
    <w:rsid w:val="00067CCC"/>
    <w:rsid w:val="000948A6"/>
    <w:rsid w:val="000C4574"/>
    <w:rsid w:val="000C6E0A"/>
    <w:rsid w:val="000D6FDB"/>
    <w:rsid w:val="000E2561"/>
    <w:rsid w:val="00103D30"/>
    <w:rsid w:val="00183D91"/>
    <w:rsid w:val="00197534"/>
    <w:rsid w:val="001A24C5"/>
    <w:rsid w:val="001A622D"/>
    <w:rsid w:val="001F2048"/>
    <w:rsid w:val="00206EA7"/>
    <w:rsid w:val="00216C24"/>
    <w:rsid w:val="0025029E"/>
    <w:rsid w:val="00256CC7"/>
    <w:rsid w:val="002A3076"/>
    <w:rsid w:val="002B039C"/>
    <w:rsid w:val="002D2AE4"/>
    <w:rsid w:val="002D7AF7"/>
    <w:rsid w:val="00316621"/>
    <w:rsid w:val="003331AB"/>
    <w:rsid w:val="0036595E"/>
    <w:rsid w:val="00384CDE"/>
    <w:rsid w:val="00397F25"/>
    <w:rsid w:val="003D27B0"/>
    <w:rsid w:val="003F5B5C"/>
    <w:rsid w:val="004048F1"/>
    <w:rsid w:val="0042420E"/>
    <w:rsid w:val="00457217"/>
    <w:rsid w:val="004743A6"/>
    <w:rsid w:val="005114F2"/>
    <w:rsid w:val="005170B2"/>
    <w:rsid w:val="00524ED3"/>
    <w:rsid w:val="00554E39"/>
    <w:rsid w:val="005C15F5"/>
    <w:rsid w:val="005D2328"/>
    <w:rsid w:val="005E2568"/>
    <w:rsid w:val="00675785"/>
    <w:rsid w:val="006808A5"/>
    <w:rsid w:val="006927AA"/>
    <w:rsid w:val="006F042D"/>
    <w:rsid w:val="00702839"/>
    <w:rsid w:val="00755AC7"/>
    <w:rsid w:val="00792DB5"/>
    <w:rsid w:val="007A59FE"/>
    <w:rsid w:val="007C0FF9"/>
    <w:rsid w:val="007C79A2"/>
    <w:rsid w:val="007D10D2"/>
    <w:rsid w:val="007D1220"/>
    <w:rsid w:val="007F0333"/>
    <w:rsid w:val="0081303C"/>
    <w:rsid w:val="00831C99"/>
    <w:rsid w:val="00840D8D"/>
    <w:rsid w:val="0084354E"/>
    <w:rsid w:val="008A12F3"/>
    <w:rsid w:val="008C6E17"/>
    <w:rsid w:val="00903FE8"/>
    <w:rsid w:val="009274BD"/>
    <w:rsid w:val="00930B32"/>
    <w:rsid w:val="00961911"/>
    <w:rsid w:val="00961952"/>
    <w:rsid w:val="00983F81"/>
    <w:rsid w:val="00984924"/>
    <w:rsid w:val="009F1D44"/>
    <w:rsid w:val="009F6F3D"/>
    <w:rsid w:val="009F7C69"/>
    <w:rsid w:val="00A36A30"/>
    <w:rsid w:val="00A973BC"/>
    <w:rsid w:val="00AA6FAF"/>
    <w:rsid w:val="00AB39E8"/>
    <w:rsid w:val="00AD2322"/>
    <w:rsid w:val="00B25A60"/>
    <w:rsid w:val="00B66898"/>
    <w:rsid w:val="00BE117D"/>
    <w:rsid w:val="00BF6A13"/>
    <w:rsid w:val="00C0622D"/>
    <w:rsid w:val="00C416A0"/>
    <w:rsid w:val="00C44E08"/>
    <w:rsid w:val="00C61BF0"/>
    <w:rsid w:val="00C952CB"/>
    <w:rsid w:val="00C9535B"/>
    <w:rsid w:val="00CB0DE0"/>
    <w:rsid w:val="00CE5637"/>
    <w:rsid w:val="00CF68F8"/>
    <w:rsid w:val="00D071E5"/>
    <w:rsid w:val="00D13744"/>
    <w:rsid w:val="00D247EC"/>
    <w:rsid w:val="00D26558"/>
    <w:rsid w:val="00D351A1"/>
    <w:rsid w:val="00D43D33"/>
    <w:rsid w:val="00D73F0D"/>
    <w:rsid w:val="00D904AD"/>
    <w:rsid w:val="00D92CD3"/>
    <w:rsid w:val="00DC3EB3"/>
    <w:rsid w:val="00DD5BED"/>
    <w:rsid w:val="00E007DD"/>
    <w:rsid w:val="00E645F8"/>
    <w:rsid w:val="00E8191B"/>
    <w:rsid w:val="00E901EC"/>
    <w:rsid w:val="00ED1101"/>
    <w:rsid w:val="00ED42AE"/>
    <w:rsid w:val="00ED7984"/>
    <w:rsid w:val="00EF3EA9"/>
    <w:rsid w:val="00F15F11"/>
    <w:rsid w:val="00F60FBB"/>
    <w:rsid w:val="00FA6AF3"/>
    <w:rsid w:val="00FC253F"/>
    <w:rsid w:val="00FD6FE8"/>
    <w:rsid w:val="00FD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E0F8"/>
  <w15:chartTrackingRefBased/>
  <w15:docId w15:val="{73291A0A-6A3B-4FF5-BB9E-DCD8A4AD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DB"/>
    <w:pPr>
      <w:ind w:left="720"/>
      <w:contextualSpacing/>
    </w:pPr>
  </w:style>
  <w:style w:type="paragraph" w:styleId="FootnoteText">
    <w:name w:val="footnote text"/>
    <w:basedOn w:val="Normal"/>
    <w:link w:val="FootnoteTextChar"/>
    <w:uiPriority w:val="99"/>
    <w:unhideWhenUsed/>
    <w:rsid w:val="001A622D"/>
    <w:pPr>
      <w:spacing w:after="0" w:line="240" w:lineRule="auto"/>
    </w:pPr>
    <w:rPr>
      <w:sz w:val="20"/>
      <w:szCs w:val="20"/>
    </w:rPr>
  </w:style>
  <w:style w:type="character" w:customStyle="1" w:styleId="FootnoteTextChar">
    <w:name w:val="Footnote Text Char"/>
    <w:basedOn w:val="DefaultParagraphFont"/>
    <w:link w:val="FootnoteText"/>
    <w:uiPriority w:val="99"/>
    <w:rsid w:val="001A622D"/>
    <w:rPr>
      <w:sz w:val="20"/>
      <w:szCs w:val="20"/>
    </w:rPr>
  </w:style>
  <w:style w:type="character" w:styleId="FootnoteReference">
    <w:name w:val="footnote reference"/>
    <w:basedOn w:val="DefaultParagraphFont"/>
    <w:uiPriority w:val="99"/>
    <w:semiHidden/>
    <w:unhideWhenUsed/>
    <w:rsid w:val="001A622D"/>
    <w:rPr>
      <w:vertAlign w:val="superscript"/>
    </w:rPr>
  </w:style>
  <w:style w:type="character" w:styleId="Hyperlink">
    <w:name w:val="Hyperlink"/>
    <w:basedOn w:val="DefaultParagraphFont"/>
    <w:uiPriority w:val="99"/>
    <w:unhideWhenUsed/>
    <w:rsid w:val="009F7C69"/>
    <w:rPr>
      <w:color w:val="0000FF"/>
      <w:u w:val="single"/>
    </w:rPr>
  </w:style>
  <w:style w:type="character" w:styleId="Emphasis">
    <w:name w:val="Emphasis"/>
    <w:basedOn w:val="DefaultParagraphFont"/>
    <w:uiPriority w:val="20"/>
    <w:qFormat/>
    <w:rsid w:val="00BE117D"/>
    <w:rPr>
      <w:i/>
      <w:iCs/>
    </w:rPr>
  </w:style>
  <w:style w:type="character" w:customStyle="1" w:styleId="Heading1Char">
    <w:name w:val="Heading 1 Char"/>
    <w:basedOn w:val="DefaultParagraphFont"/>
    <w:link w:val="Heading1"/>
    <w:uiPriority w:val="9"/>
    <w:rsid w:val="00BE117D"/>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E2568"/>
    <w:rPr>
      <w:color w:val="954F72" w:themeColor="followedHyperlink"/>
      <w:u w:val="single"/>
    </w:rPr>
  </w:style>
  <w:style w:type="paragraph" w:styleId="NoSpacing">
    <w:name w:val="No Spacing"/>
    <w:uiPriority w:val="1"/>
    <w:qFormat/>
    <w:rsid w:val="005C15F5"/>
    <w:pPr>
      <w:spacing w:after="0" w:line="240" w:lineRule="auto"/>
    </w:pPr>
  </w:style>
  <w:style w:type="character" w:styleId="CommentReference">
    <w:name w:val="annotation reference"/>
    <w:basedOn w:val="DefaultParagraphFont"/>
    <w:uiPriority w:val="99"/>
    <w:semiHidden/>
    <w:unhideWhenUsed/>
    <w:rsid w:val="000E2561"/>
    <w:rPr>
      <w:sz w:val="16"/>
      <w:szCs w:val="16"/>
    </w:rPr>
  </w:style>
  <w:style w:type="paragraph" w:styleId="CommentText">
    <w:name w:val="annotation text"/>
    <w:basedOn w:val="Normal"/>
    <w:link w:val="CommentTextChar"/>
    <w:uiPriority w:val="99"/>
    <w:semiHidden/>
    <w:unhideWhenUsed/>
    <w:rsid w:val="000E2561"/>
    <w:pPr>
      <w:spacing w:line="240" w:lineRule="auto"/>
    </w:pPr>
    <w:rPr>
      <w:sz w:val="20"/>
      <w:szCs w:val="20"/>
    </w:rPr>
  </w:style>
  <w:style w:type="character" w:customStyle="1" w:styleId="CommentTextChar">
    <w:name w:val="Comment Text Char"/>
    <w:basedOn w:val="DefaultParagraphFont"/>
    <w:link w:val="CommentText"/>
    <w:uiPriority w:val="99"/>
    <w:semiHidden/>
    <w:rsid w:val="000E2561"/>
    <w:rPr>
      <w:sz w:val="20"/>
      <w:szCs w:val="20"/>
    </w:rPr>
  </w:style>
  <w:style w:type="paragraph" w:styleId="CommentSubject">
    <w:name w:val="annotation subject"/>
    <w:basedOn w:val="CommentText"/>
    <w:next w:val="CommentText"/>
    <w:link w:val="CommentSubjectChar"/>
    <w:uiPriority w:val="99"/>
    <w:semiHidden/>
    <w:unhideWhenUsed/>
    <w:rsid w:val="000E2561"/>
    <w:rPr>
      <w:b/>
      <w:bCs/>
    </w:rPr>
  </w:style>
  <w:style w:type="character" w:customStyle="1" w:styleId="CommentSubjectChar">
    <w:name w:val="Comment Subject Char"/>
    <w:basedOn w:val="CommentTextChar"/>
    <w:link w:val="CommentSubject"/>
    <w:uiPriority w:val="99"/>
    <w:semiHidden/>
    <w:rsid w:val="000E2561"/>
    <w:rPr>
      <w:b/>
      <w:bCs/>
      <w:sz w:val="20"/>
      <w:szCs w:val="20"/>
    </w:rPr>
  </w:style>
  <w:style w:type="paragraph" w:styleId="BalloonText">
    <w:name w:val="Balloon Text"/>
    <w:basedOn w:val="Normal"/>
    <w:link w:val="BalloonTextChar"/>
    <w:uiPriority w:val="99"/>
    <w:semiHidden/>
    <w:unhideWhenUsed/>
    <w:rsid w:val="000E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61"/>
    <w:rPr>
      <w:rFonts w:ascii="Segoe UI" w:hAnsi="Segoe UI" w:cs="Segoe UI"/>
      <w:sz w:val="18"/>
      <w:szCs w:val="18"/>
    </w:rPr>
  </w:style>
  <w:style w:type="paragraph" w:styleId="Header">
    <w:name w:val="header"/>
    <w:basedOn w:val="Normal"/>
    <w:link w:val="HeaderChar"/>
    <w:uiPriority w:val="99"/>
    <w:semiHidden/>
    <w:unhideWhenUsed/>
    <w:rsid w:val="00103D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3D30"/>
  </w:style>
  <w:style w:type="paragraph" w:styleId="Footer">
    <w:name w:val="footer"/>
    <w:basedOn w:val="Normal"/>
    <w:link w:val="FooterChar"/>
    <w:uiPriority w:val="99"/>
    <w:semiHidden/>
    <w:unhideWhenUsed/>
    <w:rsid w:val="00103D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3D30"/>
  </w:style>
  <w:style w:type="paragraph" w:customStyle="1" w:styleId="Default">
    <w:name w:val="Default"/>
    <w:rsid w:val="0096195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6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5861">
      <w:bodyDiv w:val="1"/>
      <w:marLeft w:val="0"/>
      <w:marRight w:val="0"/>
      <w:marTop w:val="0"/>
      <w:marBottom w:val="0"/>
      <w:divBdr>
        <w:top w:val="none" w:sz="0" w:space="0" w:color="auto"/>
        <w:left w:val="none" w:sz="0" w:space="0" w:color="auto"/>
        <w:bottom w:val="none" w:sz="0" w:space="0" w:color="auto"/>
        <w:right w:val="none" w:sz="0" w:space="0" w:color="auto"/>
      </w:divBdr>
      <w:divsChild>
        <w:div w:id="1076905029">
          <w:marLeft w:val="-38"/>
          <w:marRight w:val="-38"/>
          <w:marTop w:val="0"/>
          <w:marBottom w:val="150"/>
          <w:divBdr>
            <w:top w:val="none" w:sz="0" w:space="0" w:color="auto"/>
            <w:left w:val="none" w:sz="0" w:space="0" w:color="auto"/>
            <w:bottom w:val="none" w:sz="0" w:space="0" w:color="auto"/>
            <w:right w:val="none" w:sz="0" w:space="0" w:color="auto"/>
          </w:divBdr>
          <w:divsChild>
            <w:div w:id="2014144304">
              <w:marLeft w:val="0"/>
              <w:marRight w:val="0"/>
              <w:marTop w:val="0"/>
              <w:marBottom w:val="0"/>
              <w:divBdr>
                <w:top w:val="none" w:sz="0" w:space="0" w:color="auto"/>
                <w:left w:val="none" w:sz="0" w:space="0" w:color="auto"/>
                <w:bottom w:val="none" w:sz="0" w:space="0" w:color="auto"/>
                <w:right w:val="none" w:sz="0" w:space="0" w:color="auto"/>
              </w:divBdr>
              <w:divsChild>
                <w:div w:id="2751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198">
      <w:bodyDiv w:val="1"/>
      <w:marLeft w:val="0"/>
      <w:marRight w:val="0"/>
      <w:marTop w:val="0"/>
      <w:marBottom w:val="0"/>
      <w:divBdr>
        <w:top w:val="none" w:sz="0" w:space="0" w:color="auto"/>
        <w:left w:val="none" w:sz="0" w:space="0" w:color="auto"/>
        <w:bottom w:val="none" w:sz="0" w:space="0" w:color="auto"/>
        <w:right w:val="none" w:sz="0" w:space="0" w:color="auto"/>
      </w:divBdr>
    </w:div>
    <w:div w:id="600182617">
      <w:bodyDiv w:val="1"/>
      <w:marLeft w:val="0"/>
      <w:marRight w:val="0"/>
      <w:marTop w:val="0"/>
      <w:marBottom w:val="0"/>
      <w:divBdr>
        <w:top w:val="none" w:sz="0" w:space="0" w:color="auto"/>
        <w:left w:val="none" w:sz="0" w:space="0" w:color="auto"/>
        <w:bottom w:val="none" w:sz="0" w:space="0" w:color="auto"/>
        <w:right w:val="none" w:sz="0" w:space="0" w:color="auto"/>
      </w:divBdr>
    </w:div>
    <w:div w:id="21254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webster@pact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4323A6CFD53418AC398108D4D2DE8" ma:contentTypeVersion="8" ma:contentTypeDescription="Create a new document." ma:contentTypeScope="" ma:versionID="12db3a0a3d2f82ccfcd076106da27494">
  <xsd:schema xmlns:xsd="http://www.w3.org/2001/XMLSchema" xmlns:xs="http://www.w3.org/2001/XMLSchema" xmlns:p="http://schemas.microsoft.com/office/2006/metadata/properties" xmlns:ns2="8b3db600-ac4c-4d10-85ea-2557422d0482" targetNamespace="http://schemas.microsoft.com/office/2006/metadata/properties" ma:root="true" ma:fieldsID="36f75251e23245efa59880fc42de49f1" ns2:_="">
    <xsd:import namespace="8b3db600-ac4c-4d10-85ea-2557422d04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db600-ac4c-4d10-85ea-2557422d0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5175-98FA-49EF-84E6-1F0165B2F596}">
  <ds:schemaRefs>
    <ds:schemaRef ds:uri="http://purl.org/dc/dcmitype/"/>
    <ds:schemaRef ds:uri="http://schemas.microsoft.com/office/infopath/2007/PartnerControls"/>
    <ds:schemaRef ds:uri="8b3db600-ac4c-4d10-85ea-2557422d0482"/>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AF85C3D-992A-49D9-9AA8-82FE9572A580}">
  <ds:schemaRefs>
    <ds:schemaRef ds:uri="http://schemas.microsoft.com/sharepoint/v3/contenttype/forms"/>
  </ds:schemaRefs>
</ds:datastoreItem>
</file>

<file path=customXml/itemProps3.xml><?xml version="1.0" encoding="utf-8"?>
<ds:datastoreItem xmlns:ds="http://schemas.openxmlformats.org/officeDocument/2006/customXml" ds:itemID="{618E3418-3811-4038-8537-A75411695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db600-ac4c-4d10-85ea-2557422d0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63431-09C4-4E44-B7FE-A4C36520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Links>
    <vt:vector size="6" baseType="variant">
      <vt:variant>
        <vt:i4>6291496</vt:i4>
      </vt:variant>
      <vt:variant>
        <vt:i4>0</vt:i4>
      </vt:variant>
      <vt:variant>
        <vt:i4>0</vt:i4>
      </vt:variant>
      <vt:variant>
        <vt:i4>5</vt:i4>
      </vt:variant>
      <vt:variant>
        <vt:lpwstr>https://www.sentencingcouncil.org.uk/wp-content/uploads/MCSG-consultation-FINAL.pdf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Webster</dc:creator>
  <cp:keywords/>
  <dc:description/>
  <cp:lastModifiedBy>Evan Webster</cp:lastModifiedBy>
  <cp:revision>2</cp:revision>
  <dcterms:created xsi:type="dcterms:W3CDTF">2020-04-17T14:28:00Z</dcterms:created>
  <dcterms:modified xsi:type="dcterms:W3CDTF">2020-04-17T14:28:00Z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0x0101006154323A6CFD53418AC398108D4D2DE8</vt:lpwstr>
  </property>
</Properties>
</file>